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A263B">
        <w:rPr>
          <w:rFonts w:ascii="Arial" w:hAnsi="Arial" w:cs="Arial"/>
          <w:b/>
          <w:sz w:val="24"/>
          <w:szCs w:val="24"/>
        </w:rPr>
        <w:t>1120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EA263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A263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A263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EA263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A263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EA263B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EA263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</w:t>
      </w:r>
      <w:r w:rsidR="00EA263B">
        <w:rPr>
          <w:rFonts w:ascii="Arial" w:hAnsi="Arial" w:cs="Arial"/>
          <w:sz w:val="24"/>
          <w:szCs w:val="24"/>
        </w:rPr>
        <w:t xml:space="preserve">integrantes da Comissão de Cidadania e Direitos Humanos, </w:t>
      </w:r>
      <w:r>
        <w:rPr>
          <w:rFonts w:ascii="Arial" w:hAnsi="Arial" w:cs="Arial"/>
          <w:sz w:val="24"/>
          <w:szCs w:val="24"/>
        </w:rPr>
        <w:t>na forma regimental, requer</w:t>
      </w:r>
      <w:r w:rsidR="00EA263B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EA263B">
        <w:rPr>
          <w:rFonts w:ascii="Arial" w:hAnsi="Arial" w:cs="Arial"/>
          <w:sz w:val="24"/>
          <w:szCs w:val="24"/>
        </w:rPr>
        <w:t xml:space="preserve"> o cumprimento da Lei nº 4.007, de 21/11/2015. Dentre outros pontos, a referida lei cita que o Executivo garantirá a acessibilidade pela instalação de sinalização tátil de alerta e direcional nos passeios, conforme padrões definidos pela NBR 9050 da ABNT.</w:t>
      </w:r>
    </w:p>
    <w:p w:rsidR="00EA263B" w:rsidRDefault="00EA263B" w:rsidP="00EA263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solicitação se justifica, uma vez que várias demandas chegam a comissão com solicitações relacionadas ao tema, que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foi também assunto recorrente da Jornada de Debates realizada pelo Legislativo, em 17/10, por meio da comissão, junto a outros segmentos da sociedade que participaram da discussão.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EA263B">
        <w:rPr>
          <w:rFonts w:ascii="Arial" w:hAnsi="Arial" w:cs="Arial"/>
          <w:noProof/>
          <w:sz w:val="24"/>
          <w:szCs w:val="24"/>
        </w:rPr>
        <w:t>5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EA263B" w:rsidRDefault="00EA263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EA263B" w:rsidRDefault="00EA263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EA263B" w:rsidRDefault="00EA263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– PSC</w:t>
      </w:r>
    </w:p>
    <w:p w:rsidR="00EA263B" w:rsidRDefault="00EA263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EA263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63B" w:rsidRDefault="00EA263B" w:rsidP="00131C79">
      <w:pPr>
        <w:spacing w:after="0" w:line="240" w:lineRule="auto"/>
      </w:pPr>
      <w:r>
        <w:separator/>
      </w:r>
    </w:p>
  </w:endnote>
  <w:endnote w:type="continuationSeparator" w:id="0">
    <w:p w:rsidR="00EA263B" w:rsidRDefault="00EA263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A263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63B" w:rsidRDefault="00EA263B" w:rsidP="00131C79">
      <w:pPr>
        <w:spacing w:after="0" w:line="240" w:lineRule="auto"/>
      </w:pPr>
      <w:r>
        <w:separator/>
      </w:r>
    </w:p>
  </w:footnote>
  <w:footnote w:type="continuationSeparator" w:id="0">
    <w:p w:rsidR="00EA263B" w:rsidRDefault="00EA263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A263B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3B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EA263B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E5F48F5-8E71-489E-92DB-3A438C02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2018-11-05T18:28:00Z</cp:lastPrinted>
  <dcterms:created xsi:type="dcterms:W3CDTF">2018-11-05T18:19:00Z</dcterms:created>
  <dcterms:modified xsi:type="dcterms:W3CDTF">2018-11-05T18:28:00Z</dcterms:modified>
</cp:coreProperties>
</file>