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35C0C">
        <w:rPr>
          <w:rFonts w:ascii="Arial" w:hAnsi="Arial" w:cs="Arial"/>
          <w:b/>
          <w:sz w:val="24"/>
          <w:szCs w:val="24"/>
        </w:rPr>
        <w:t>1226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35C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35C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D35C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35C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D35C0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D35C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D35C0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D35C0C">
        <w:rPr>
          <w:rFonts w:ascii="Arial" w:hAnsi="Arial" w:cs="Arial"/>
          <w:sz w:val="24"/>
          <w:szCs w:val="24"/>
        </w:rPr>
        <w:t xml:space="preserve"> determinar a conclusão do serviço de manilhamento na </w:t>
      </w:r>
      <w:bookmarkStart w:id="0" w:name="_GoBack"/>
      <w:bookmarkEnd w:id="0"/>
      <w:r w:rsidR="00D35C0C">
        <w:rPr>
          <w:rFonts w:ascii="Arial" w:hAnsi="Arial" w:cs="Arial"/>
          <w:sz w:val="24"/>
          <w:szCs w:val="24"/>
        </w:rPr>
        <w:t>rua João Pinto de Godoy, próximo ao nº 1.920, distrito do Vau Açu. Segundo moradores, a situação atinge diretamente casas próximas ao local e as mesmas apresentam trincas, e afirmam ter relação direta com a obra não concluída.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35C0C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D35C0C" w:rsidRDefault="00D35C0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D35C0C" w:rsidRDefault="00D35C0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D35C0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0C" w:rsidRDefault="00D35C0C" w:rsidP="00131C79">
      <w:pPr>
        <w:spacing w:after="0" w:line="240" w:lineRule="auto"/>
      </w:pPr>
      <w:r>
        <w:separator/>
      </w:r>
    </w:p>
  </w:endnote>
  <w:endnote w:type="continuationSeparator" w:id="0">
    <w:p w:rsidR="00D35C0C" w:rsidRDefault="00D35C0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35C0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0C" w:rsidRDefault="00D35C0C" w:rsidP="00131C79">
      <w:pPr>
        <w:spacing w:after="0" w:line="240" w:lineRule="auto"/>
      </w:pPr>
      <w:r>
        <w:separator/>
      </w:r>
    </w:p>
  </w:footnote>
  <w:footnote w:type="continuationSeparator" w:id="0">
    <w:p w:rsidR="00D35C0C" w:rsidRDefault="00D35C0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35C0C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0C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35C0C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11ECE5B-3057-4B44-9925-CD503F96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2018-12-03T19:06:00Z</cp:lastPrinted>
  <dcterms:created xsi:type="dcterms:W3CDTF">2018-12-03T19:00:00Z</dcterms:created>
  <dcterms:modified xsi:type="dcterms:W3CDTF">2018-12-03T19:06:00Z</dcterms:modified>
</cp:coreProperties>
</file>