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50F05">
        <w:rPr>
          <w:rFonts w:ascii="Arial" w:hAnsi="Arial" w:cs="Arial"/>
          <w:b/>
          <w:sz w:val="24"/>
          <w:szCs w:val="24"/>
        </w:rPr>
        <w:t>550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50F0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50F0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50F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50F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50F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850F0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850F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850F05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850F05">
        <w:rPr>
          <w:rFonts w:ascii="Arial" w:hAnsi="Arial" w:cs="Arial"/>
          <w:sz w:val="24"/>
          <w:szCs w:val="24"/>
        </w:rPr>
        <w:t xml:space="preserve"> determinar serviço de pequeno reparo para contenção de água de chuva no início da rua São Lourenço, cruzamento coma rua Camilo Gomes. De acordo com moradores, a enxurrada passa pelas residências na rua São Lourenço e atingem as casas da rua Santa Efigênia.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50F05">
        <w:rPr>
          <w:rFonts w:ascii="Arial" w:hAnsi="Arial" w:cs="Arial"/>
          <w:sz w:val="24"/>
          <w:szCs w:val="24"/>
        </w:rPr>
        <w:t>10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50F05" w:rsidRDefault="00850F0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–PT</w:t>
      </w:r>
    </w:p>
    <w:p w:rsidR="00850F05" w:rsidRDefault="00850F0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850F0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05" w:rsidRDefault="00850F05" w:rsidP="00131C79">
      <w:pPr>
        <w:spacing w:after="0" w:line="240" w:lineRule="auto"/>
      </w:pPr>
      <w:r>
        <w:separator/>
      </w:r>
    </w:p>
  </w:endnote>
  <w:endnote w:type="continuationSeparator" w:id="0">
    <w:p w:rsidR="00850F05" w:rsidRDefault="00850F0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50F0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05" w:rsidRDefault="00850F05" w:rsidP="00131C79">
      <w:pPr>
        <w:spacing w:after="0" w:line="240" w:lineRule="auto"/>
      </w:pPr>
      <w:r>
        <w:separator/>
      </w:r>
    </w:p>
  </w:footnote>
  <w:footnote w:type="continuationSeparator" w:id="0">
    <w:p w:rsidR="00850F05" w:rsidRDefault="00850F0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50F0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50F05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4453454-3300-441B-99F3-5C833043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2019-05-10T16:36:00Z</cp:lastPrinted>
  <dcterms:created xsi:type="dcterms:W3CDTF">2019-05-10T16:33:00Z</dcterms:created>
  <dcterms:modified xsi:type="dcterms:W3CDTF">2019-05-10T16:37:00Z</dcterms:modified>
</cp:coreProperties>
</file>