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4721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7211">
        <w:rPr>
          <w:rFonts w:ascii="Arial" w:hAnsi="Arial" w:cs="Arial"/>
          <w:b/>
          <w:sz w:val="24"/>
          <w:szCs w:val="24"/>
        </w:rPr>
        <w:t>124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4721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4721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4721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4721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721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4721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7211">
        <w:rPr>
          <w:rFonts w:ascii="Arial" w:hAnsi="Arial" w:cs="Arial"/>
          <w:sz w:val="24"/>
          <w:szCs w:val="24"/>
        </w:rPr>
        <w:t xml:space="preserve"> determinar obras para aumentar bueiros ou instalar galeria na rua João Alves de Oliveira, para melhor captação da água da chuva, que atualmente desce invadindo residências.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47211">
        <w:rPr>
          <w:rFonts w:ascii="Arial" w:hAnsi="Arial" w:cs="Arial"/>
          <w:sz w:val="24"/>
          <w:szCs w:val="24"/>
        </w:rPr>
        <w:t>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721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211" w:rsidRDefault="00547211" w:rsidP="00131C79">
      <w:pPr>
        <w:spacing w:after="0" w:line="240" w:lineRule="auto"/>
      </w:pPr>
      <w:r>
        <w:separator/>
      </w:r>
    </w:p>
  </w:endnote>
  <w:endnote w:type="continuationSeparator" w:id="0">
    <w:p w:rsidR="00547211" w:rsidRDefault="0054721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4721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211" w:rsidRDefault="00547211" w:rsidP="00131C79">
      <w:pPr>
        <w:spacing w:after="0" w:line="240" w:lineRule="auto"/>
      </w:pPr>
      <w:r>
        <w:separator/>
      </w:r>
    </w:p>
  </w:footnote>
  <w:footnote w:type="continuationSeparator" w:id="0">
    <w:p w:rsidR="00547211" w:rsidRDefault="0054721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721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11"/>
    <w:rsid w:val="00131C79"/>
    <w:rsid w:val="001C4454"/>
    <w:rsid w:val="00295B29"/>
    <w:rsid w:val="00416ACC"/>
    <w:rsid w:val="00472BCC"/>
    <w:rsid w:val="00547211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655F8E9-DB30-4E94-A308-546DB6A4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2020-02-19T17:11:00Z</dcterms:created>
  <dcterms:modified xsi:type="dcterms:W3CDTF">2020-02-19T17:16:00Z</dcterms:modified>
</cp:coreProperties>
</file>